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72" w:leftChars="85"/>
        <w:jc w:val="center"/>
        <w:rPr>
          <w:rFonts w:hint="eastAsia" w:ascii="方正小标宋简体" w:hAnsi="华文中宋" w:eastAsia="方正小标宋简体"/>
          <w:bCs/>
          <w:color w:val="FF0000"/>
          <w:spacing w:val="140"/>
          <w:w w:val="80"/>
          <w:sz w:val="90"/>
          <w:szCs w:val="70"/>
        </w:rPr>
      </w:pPr>
      <w:r>
        <w:rPr>
          <w:rFonts w:hint="eastAsia" w:ascii="方正小标宋简体" w:hAnsi="华文中宋" w:eastAsia="方正小标宋简体"/>
          <w:bCs/>
          <w:color w:val="FF0000"/>
          <w:spacing w:val="140"/>
          <w:w w:val="80"/>
          <w:sz w:val="90"/>
          <w:szCs w:val="70"/>
        </w:rPr>
        <w:t>温州市司法局文件</w:t>
      </w:r>
    </w:p>
    <w:p>
      <w:pPr>
        <w:spacing w:line="480" w:lineRule="exact"/>
        <w:rPr>
          <w:rFonts w:hint="eastAsia" w:ascii="华文中宋" w:hAnsi="华文中宋" w:eastAsia="华文中宋"/>
          <w:b/>
          <w:bCs/>
          <w:color w:val="FF0000"/>
          <w:spacing w:val="140"/>
          <w:w w:val="80"/>
          <w:sz w:val="48"/>
          <w:szCs w:val="48"/>
        </w:rPr>
      </w:pPr>
    </w:p>
    <w:p>
      <w:pPr>
        <w:spacing w:line="480" w:lineRule="exact"/>
        <w:rPr>
          <w:rFonts w:hint="eastAsia" w:ascii="华文中宋" w:hAnsi="华文中宋" w:eastAsia="华文中宋"/>
          <w:b/>
          <w:bCs/>
          <w:color w:val="FF0000"/>
          <w:spacing w:val="140"/>
          <w:w w:val="80"/>
          <w:sz w:val="48"/>
          <w:szCs w:val="48"/>
        </w:rPr>
      </w:pPr>
    </w:p>
    <w:p>
      <w:pPr>
        <w:spacing w:line="600" w:lineRule="exact"/>
        <w:jc w:val="center"/>
        <w:rPr>
          <w:rFonts w:hint="eastAsia" w:ascii="仿宋_GB2312"/>
          <w:szCs w:val="32"/>
        </w:rPr>
      </w:pPr>
      <w:r>
        <w:rPr>
          <w:rFonts w:hint="eastAsia" w:ascii="仿宋_GB2312"/>
          <w:szCs w:val="32"/>
        </w:rPr>
        <w:t>温司</w:t>
      </w:r>
      <w:r>
        <w:rPr>
          <w:rFonts w:hint="eastAsia" w:ascii="仿宋_GB2312" w:hAnsi="宋体" w:cs="宋体"/>
          <w:szCs w:val="32"/>
        </w:rPr>
        <w:t>〔</w:t>
      </w:r>
      <w:bookmarkStart w:id="0" w:name="年号"/>
      <w:r>
        <w:rPr>
          <w:rFonts w:hint="eastAsia" w:ascii="仿宋_GB2312"/>
          <w:szCs w:val="32"/>
          <w:lang w:eastAsia="zh-CN"/>
        </w:rPr>
        <w:t>2019</w:t>
      </w:r>
      <w:bookmarkEnd w:id="0"/>
      <w:r>
        <w:rPr>
          <w:rFonts w:hint="eastAsia" w:ascii="仿宋_GB2312" w:hAnsi="宋体" w:cs="宋体"/>
          <w:szCs w:val="32"/>
        </w:rPr>
        <w:t>〕</w:t>
      </w:r>
      <w:bookmarkStart w:id="1" w:name="序号"/>
      <w:r>
        <w:rPr>
          <w:rFonts w:hint="eastAsia" w:ascii="仿宋_GB2312"/>
          <w:snapToGrid w:val="0"/>
          <w:sz w:val="32"/>
          <w:szCs w:val="32"/>
          <w:lang w:eastAsia="zh-CN"/>
        </w:rPr>
        <w:t>10</w:t>
      </w:r>
      <w:bookmarkEnd w:id="1"/>
      <w:r>
        <w:rPr>
          <w:rFonts w:hint="eastAsia" w:ascii="仿宋_GB2312"/>
          <w:snapToGrid w:val="0"/>
          <w:sz w:val="32"/>
          <w:szCs w:val="32"/>
          <w:lang w:val="en-US" w:eastAsia="zh-CN"/>
        </w:rPr>
        <w:t>7</w:t>
      </w:r>
      <w:r>
        <w:rPr>
          <w:rFonts w:hint="eastAsia" w:ascii="仿宋_GB2312"/>
          <w:szCs w:val="32"/>
        </w:rPr>
        <w:t xml:space="preserve">号     </w:t>
      </w:r>
      <w:r>
        <w:rPr>
          <w:rFonts w:hint="eastAsia" w:ascii="仿宋_GB2312"/>
          <w:szCs w:val="32"/>
          <w:lang w:val="en-US" w:eastAsia="zh-CN"/>
        </w:rPr>
        <w:t xml:space="preserve">           </w:t>
      </w:r>
      <w:r>
        <w:rPr>
          <w:rFonts w:hint="eastAsia" w:ascii="仿宋_GB2312"/>
          <w:szCs w:val="32"/>
        </w:rPr>
        <w:t xml:space="preserve">  </w:t>
      </w:r>
      <w:r>
        <w:rPr>
          <w:rFonts w:hint="eastAsia" w:ascii="仿宋_GB2312"/>
          <w:szCs w:val="32"/>
          <w:lang w:val="en-US" w:eastAsia="zh-CN"/>
        </w:rPr>
        <w:t xml:space="preserve">    </w:t>
      </w:r>
      <w:r>
        <w:rPr>
          <w:rFonts w:hint="eastAsia" w:ascii="楷体" w:hAnsi="楷体" w:eastAsia="楷体" w:cs="楷体"/>
          <w:szCs w:val="32"/>
        </w:rPr>
        <w:t xml:space="preserve"> </w:t>
      </w:r>
      <w:r>
        <w:rPr>
          <w:rFonts w:hint="eastAsia" w:ascii="仿宋_GB2312"/>
          <w:szCs w:val="32"/>
        </w:rPr>
        <w:t xml:space="preserve">        </w:t>
      </w:r>
    </w:p>
    <w:p>
      <w:pPr>
        <w:spacing w:line="480" w:lineRule="exact"/>
        <w:jc w:val="center"/>
        <w:rPr>
          <w:rFonts w:hint="eastAsia" w:ascii="仿宋_GB2312"/>
          <w:b/>
          <w:sz w:val="44"/>
          <w:szCs w:val="44"/>
        </w:rPr>
      </w:pPr>
      <w:r>
        <w:rPr>
          <w:rFonts w:hint="eastAsia" w:ascii="仿宋_GB2312"/>
          <w:b/>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486400" cy="0"/>
                        </a:xfrm>
                        <a:prstGeom prst="line">
                          <a:avLst/>
                        </a:prstGeom>
                        <a:ln w="31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pt;height:0pt;width:432pt;z-index:251658240;mso-width-relative:page;mso-height-relative:page;" filled="f" stroked="t" coordsize="21600,21600" o:gfxdata="UEsDBAoAAAAAAIdO4kAAAAAAAAAAAAAAAAAEAAAAZHJzL1BLAwQUAAAACACHTuJA0vaZNNEAAAAC&#10;AQAADwAAAGRycy9kb3ducmV2LnhtbE2PTU/DMAyG70j7D5EncWPJVthGabrDEEgcKQiuaWPaaolT&#10;NdkH/Ho8LuNi6dFrvX5cbE7eiQOOsQ+kYT5TIJCaYHtqNby/Pd2sQcRkyBoXCDV8Y4RNObkqTG7D&#10;kV7xUKVWcAnF3GjoUhpyKWPToTdxFgYkzr7C6E1iHFtpR3Pkcu/kQqml9KYnvtCZAbcdNrtq7zU8&#10;flbKu+zledevsrvs52OV3cda6+vpXD2ASHhKl2U467M6lOxUhz3ZKJwGfiT9Tc7Wy1vG+oyyLOR/&#10;9fIXUEsDBBQAAAAIAIdO4kARoZVn5QEAAKADAAAOAAAAZHJzL2Uyb0RvYy54bWytU81uEzEQviPx&#10;DpbvZDelLdUqmx4awgVBJErvE//sWvKfbDebvAQvgMQNThy5921aHqNjb5oWuCDEHkb2zPib+b6Z&#10;nZ1vjSYbEaJytqXTSU2JsMxxZbuWfrxcvjijJCawHLSzoqU7Een5/Pmz2eAbceR6p7kIBEFsbAbf&#10;0j4l31RVZL0wECfOC4tB6YKBhNfQVTzAgOhGV0d1fVoNLnAfHBMxoncxBum84EspWHovZRSJ6JZi&#10;b6nYUOw622o+g6YL4HvF9m3AP3RhQFkseoBaQAJyHdQfUEax4KKTacKcqZyUionCAdlM69/YfOjB&#10;i8IFxYn+IFP8f7Ds3WYViOI4O0osGBzR3ecft5++/rz5gvbu+zcyzSINPjaYe2FXYX+LfhUy460M&#10;hkit/FXGyB5kRbZF4t1BYrFNhKHz5Pjs9LjGSbCHWDVC5Ic+xPRGOEPyoaVa2cweGti8jQnLYupD&#10;SnZrS4aWvpy+OkE4wOWRGhIejUc60XblbXRa8aXSOr+IoVtf6EA2gOuwXNb4ZXKI+0taLrKA2I95&#10;JTQuSi+Av7acpJ1HoSxuNM0tGMEp0QJ/gHxCQGgSKP03mVhaW+wg6zsqmk9rx3c4lmsfVNejEmUE&#10;JQfXoPS7X9m8Z0/vBenxx5r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L2mTTRAAAAAgEAAA8A&#10;AAAAAAAAAQAgAAAAIgAAAGRycy9kb3ducmV2LnhtbFBLAQIUABQAAAAIAIdO4kARoZVn5QEAAKAD&#10;AAAOAAAAAAAAAAEAIAAAACABAABkcnMvZTJvRG9jLnhtbFBLBQYAAAAABgAGAFkBAAB3BQAAAAA=&#10;">
                <v:fill on="f" focussize="0,0"/>
                <v:stroke weight="0.25pt" color="#FF0000" joinstyle="round"/>
                <v:imagedata o:title=""/>
                <o:lock v:ext="edit" aspectratio="f"/>
              </v:line>
            </w:pict>
          </mc:Fallback>
        </mc:AlternateContent>
      </w:r>
    </w:p>
    <w:p>
      <w:pPr>
        <w:spacing w:line="480" w:lineRule="exact"/>
        <w:jc w:val="center"/>
        <w:rPr>
          <w:rFonts w:hint="eastAsia" w:ascii="仿宋_GB2312"/>
          <w:b/>
          <w:sz w:val="44"/>
          <w:szCs w:val="44"/>
        </w:rPr>
      </w:pPr>
    </w:p>
    <w:p>
      <w:pPr>
        <w:autoSpaceDE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关于印发市本级行政规范性文件制定主体清单和市本级行政规范性文件统一编号</w:t>
      </w:r>
    </w:p>
    <w:p>
      <w:pPr>
        <w:autoSpaceDE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系统代码的通知</w:t>
      </w:r>
    </w:p>
    <w:p>
      <w:pPr>
        <w:autoSpaceDE w:val="0"/>
        <w:snapToGrid w:val="0"/>
        <w:spacing w:line="500" w:lineRule="exact"/>
        <w:rPr>
          <w:rFonts w:hint="eastAsia"/>
        </w:rPr>
      </w:pPr>
      <w:r>
        <w:t xml:space="preserve"> </w:t>
      </w:r>
    </w:p>
    <w:p>
      <w:pPr>
        <w:autoSpaceDE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各县（市、区）人民政府，市各有关单位：</w:t>
      </w:r>
    </w:p>
    <w:p>
      <w:pPr>
        <w:autoSpaceDE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全面推行行政规范性文件合法性审核机制的指导意见》（国办发〔2018〕115号）要求和《浙江行政规范性文件管理办法》（省政府令第372号）《温州市行政规范性文件管理办法》（温政发〔2019〕7号）规定，结合我市机构改革情况，经市政府同意，现将重新编制的市本级行政规范性文件制定主体清单和市本级行政规范性文件统一编号系统代码予以印发公布。</w:t>
      </w:r>
    </w:p>
    <w:p>
      <w:pPr>
        <w:autoSpaceDE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列入制定主体清单的市本级其他单位、机构（包括各类临时机构、议事协调机构及其办公室，部门的内设机构、派出机构，受行政机关依法委托的行政执法机构，以及其他不具有行政管理职能的机构）不得以本单位、本机构名义制发行政规范性文件。</w:t>
      </w:r>
    </w:p>
    <w:p>
      <w:pPr>
        <w:autoSpaceDE w:val="0"/>
        <w:snapToGri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印发公布之日起施行。原市法制办制发的《关于公布市级行政规范性文件制定主体清单的通知》（温府法发〔2017〕32号）、《温州市市级部门行政规范性文件报备说明》（温府法发〔2015〕70号）同时废止。</w:t>
      </w:r>
    </w:p>
    <w:p>
      <w:pPr>
        <w:autoSpaceDE w:val="0"/>
        <w:snapToGrid w:val="0"/>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napToGrid w:val="0"/>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附件：1.市本级行政规范性文件制定主体清单</w:t>
      </w:r>
    </w:p>
    <w:p>
      <w:pPr>
        <w:autoSpaceDE w:val="0"/>
        <w:snapToGrid w:val="0"/>
        <w:spacing w:line="500" w:lineRule="exact"/>
        <w:ind w:firstLine="1622" w:firstLineChars="507"/>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2.市本级行政规范性文件统一编号系统代码</w:t>
      </w:r>
    </w:p>
    <w:p>
      <w:pPr>
        <w:autoSpaceDE w:val="0"/>
        <w:snapToGrid w:val="0"/>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napToGrid w:val="0"/>
        <w:spacing w:line="500" w:lineRule="exact"/>
        <w:ind w:firstLine="645"/>
        <w:jc w:val="left"/>
        <w:rPr>
          <w:rFonts w:hint="eastAsia" w:ascii="仿宋_GB2312" w:hAnsi="仿宋_GB2312" w:eastAsia="仿宋_GB2312" w:cs="仿宋_GB2312"/>
          <w:sz w:val="32"/>
          <w:szCs w:val="32"/>
        </w:rPr>
      </w:pPr>
    </w:p>
    <w:p>
      <w:pPr>
        <w:autoSpaceDE w:val="0"/>
        <w:snapToGrid w:val="0"/>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温州市司法局</w:t>
      </w:r>
    </w:p>
    <w:p>
      <w:pPr>
        <w:autoSpaceDE w:val="0"/>
        <w:snapToGrid w:val="0"/>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11</w:t>
      </w:r>
      <w:r>
        <w:rPr>
          <w:rFonts w:hint="eastAsia" w:ascii="仿宋_GB2312" w:hAnsi="仿宋_GB2312" w:eastAsia="仿宋_GB2312" w:cs="仿宋_GB2312"/>
          <w:sz w:val="32"/>
          <w:szCs w:val="32"/>
        </w:rPr>
        <w:t>日</w:t>
      </w: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p>
    <w:p>
      <w:pPr>
        <w:autoSpaceDE w:val="0"/>
        <w:snapToGrid w:val="0"/>
        <w:spacing w:line="500" w:lineRule="exact"/>
        <w:ind w:firstLine="0"/>
        <w:jc w:val="left"/>
        <w:rPr>
          <w:rFonts w:hint="eastAsia" w:ascii="黑体" w:hAnsi="黑体" w:eastAsia="黑体"/>
          <w:color w:val="000000"/>
          <w:sz w:val="32"/>
          <w:szCs w:val="32"/>
        </w:rPr>
      </w:pPr>
      <w:r>
        <w:rPr>
          <w:rFonts w:hint="eastAsia" w:ascii="黑体" w:hAnsi="黑体" w:eastAsia="黑体"/>
          <w:color w:val="000000"/>
          <w:sz w:val="32"/>
          <w:szCs w:val="32"/>
        </w:rPr>
        <w:t>附件1</w:t>
      </w:r>
    </w:p>
    <w:p>
      <w:pPr>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市本级行政规范性文件制定主体清单</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市政府</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市政府办公室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市档案局</w:t>
      </w: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市公务员局</w:t>
      </w: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市新闻出版局</w:t>
      </w: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市互联网信息办公室</w:t>
      </w: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市政府侨务办公室</w:t>
      </w:r>
    </w:p>
    <w:p>
      <w:pPr>
        <w:spacing w:line="58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市政府台湾事务办公室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市信访局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市保密局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市发展和改革委员会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市经济和信息化局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市教育局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市科学技术局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市民族宗教事务局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市公安局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市民政局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市司法局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市财政局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市人力资源和社会保障局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市自然资源和规划局（市海洋局、市林业局）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市生态环境局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市住房和城乡建设局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市综合行政执法局（市城市管理局）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市交通运输局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市水利局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市农业农村局（市渔业局）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市商务局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市文化广电旅游局（市文物局）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市卫生健康委员会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市审计局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市体育局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市统计局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市政府外事办公室（市政府港澳事务办公室）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市应急管理局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市人民防空办公室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市市场监督管理局（市知识产权局）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市机关事务管理局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市政府金融工作办公室</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市政府国有资产监督管理委员会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市大数据发展管理局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市投资促进局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市粮食和物资储备局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市退役军人事务局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市医疗保障局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市政务服务局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温州浙南沿海先进装备产业集聚区管理委员会（温州经济技术开发区管理委员会、温州市瓯飞开发建设管理委员会）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温州生态园管理委员会</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市住房公积金管理中心</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市消防救援支队</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市公安局出入境管理局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市公安局交通管理局</w:t>
      </w: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市气象局</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240" w:lineRule="exact"/>
        <w:ind w:left="2259" w:leftChars="556" w:hanging="480" w:hangingChars="150"/>
        <w:rPr>
          <w:rFonts w:ascii="仿宋_GB2312"/>
        </w:rPr>
      </w:pPr>
      <w:r>
        <w:rPr>
          <w:rFonts w:hint="eastAsia" w:ascii="仿宋" w:hAnsi="仿宋" w:eastAsia="仿宋"/>
          <w:color w:val="000000"/>
          <w:sz w:val="32"/>
          <w:szCs w:val="32"/>
        </w:rPr>
        <w:t xml:space="preserve"> </w:t>
      </w:r>
      <w:r>
        <w:rPr>
          <w:rFonts w:ascii="仿宋_GB2312"/>
        </w:rPr>
        <w:t xml:space="preserve"> </w:t>
      </w: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hint="eastAsia" w:ascii="黑体" w:hAnsi="黑体" w:eastAsia="黑体"/>
          <w:color w:val="000000"/>
          <w:sz w:val="32"/>
          <w:szCs w:val="32"/>
        </w:rPr>
      </w:pPr>
    </w:p>
    <w:p>
      <w:pPr>
        <w:spacing w:line="580" w:lineRule="exact"/>
        <w:rPr>
          <w:rFonts w:ascii="黑体" w:hAnsi="黑体" w:eastAsia="黑体"/>
          <w:color w:val="000000"/>
          <w:sz w:val="32"/>
          <w:szCs w:val="32"/>
        </w:rPr>
      </w:pPr>
      <w:bookmarkStart w:id="3" w:name="_GoBack"/>
      <w:bookmarkEnd w:id="3"/>
      <w:r>
        <w:rPr>
          <w:rFonts w:hint="eastAsia" w:ascii="黑体" w:hAnsi="黑体" w:eastAsia="黑体"/>
          <w:color w:val="000000"/>
          <w:sz w:val="32"/>
          <w:szCs w:val="32"/>
        </w:rPr>
        <w:t>附件2</w:t>
      </w:r>
    </w:p>
    <w:p>
      <w:pPr>
        <w:spacing w:line="240" w:lineRule="exact"/>
        <w:ind w:left="2259" w:leftChars="556" w:hanging="480" w:hangingChars="150"/>
        <w:rPr>
          <w:rFonts w:hint="eastAsia" w:ascii="仿宋_GB2312"/>
        </w:rPr>
      </w:pPr>
      <w:r>
        <w:rPr>
          <w:rFonts w:ascii="仿宋_GB2312"/>
        </w:rPr>
        <w:t xml:space="preserve"> </w:t>
      </w:r>
    </w:p>
    <w:p>
      <w:pPr>
        <w:autoSpaceDE w:val="0"/>
        <w:ind w:left="0" w:leftChars="0" w:firstLine="0" w:firstLineChars="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市本级行政规范性文件统一编号系统代码</w:t>
      </w:r>
    </w:p>
    <w:p>
      <w:pPr>
        <w:spacing w:line="240" w:lineRule="exact"/>
        <w:ind w:left="2259" w:leftChars="556" w:hanging="480" w:hangingChars="150"/>
        <w:rPr>
          <w:rFonts w:ascii="仿宋_GB2312"/>
        </w:rPr>
      </w:pPr>
      <w:r>
        <w:rPr>
          <w:rFonts w:ascii="仿宋_GB2312"/>
        </w:rPr>
        <w:t xml:space="preserve"> </w:t>
      </w:r>
    </w:p>
    <w:p>
      <w:pPr>
        <w:spacing w:line="240" w:lineRule="exact"/>
        <w:ind w:left="2259" w:leftChars="556" w:hanging="480" w:hangingChars="150"/>
        <w:rPr>
          <w:rFonts w:ascii="仿宋_GB2312"/>
        </w:rPr>
      </w:pPr>
      <w:r>
        <w:rPr>
          <w:rFonts w:ascii="仿宋_GB2312"/>
        </w:rPr>
        <w:t xml:space="preserve"> </w:t>
      </w:r>
    </w:p>
    <w:tbl>
      <w:tblPr>
        <w:tblStyle w:val="4"/>
        <w:tblW w:w="8287" w:type="dxa"/>
        <w:tblInd w:w="93" w:type="dxa"/>
        <w:tblLayout w:type="fixed"/>
        <w:tblCellMar>
          <w:top w:w="15" w:type="dxa"/>
          <w:left w:w="15" w:type="dxa"/>
          <w:bottom w:w="15" w:type="dxa"/>
          <w:right w:w="15" w:type="dxa"/>
        </w:tblCellMar>
      </w:tblPr>
      <w:tblGrid>
        <w:gridCol w:w="6202"/>
        <w:gridCol w:w="2085"/>
      </w:tblGrid>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温州市发展和改革委员会</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ZJCC02</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温州市政务服务局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ZJCC02-201x-1xxx</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温州市经济和信息化局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ZJCC03</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温州市教育局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ZJCC04</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温州市科学技术局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ZJCC05</w:t>
            </w:r>
          </w:p>
        </w:tc>
      </w:tr>
      <w:tr>
        <w:tblPrEx>
          <w:tblLayout w:type="fixed"/>
          <w:tblCellMar>
            <w:top w:w="15" w:type="dxa"/>
            <w:left w:w="15" w:type="dxa"/>
            <w:bottom w:w="15" w:type="dxa"/>
            <w:right w:w="15" w:type="dxa"/>
          </w:tblCellMar>
        </w:tblPrEx>
        <w:trPr>
          <w:trHeight w:val="90"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温州市民族宗教事务局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ZJCC06</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温州市公安局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ZJCC07</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温州市公安局出入境管理局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ZJCC07-201x-1xxx</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温州市公安局交通管理局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ZJCC07-201x-2xxx</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温州市民政局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ZJCC10</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温州市司法局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ZJCC11</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温州市财政局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ZJCC12</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温州市人力资源和社会保障局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ZJCC13</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温州市住房和城乡建设局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ZJCC16</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温州市住房公积金管理中心</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ZJCC16-201x-2xxx</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温州市交通运输局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ZJCC17</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温州市水利局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ZJCC18</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温州市商务局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ZJCC21</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温州市审计局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ZJCC25</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温州市政府外事办公室（温州市政府港澳事务办公室）</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ZJCC26</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温州市人民政府国有资产监督管理委员会</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ZJCC27</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温州市体育局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ZJCC33</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温州市统计局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ZJCC35</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温州市人民防空办公室</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ZJCC41</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温州市投资促进局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ZJCC45</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温州市档案局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ZJCC47</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温州市气象局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ZJCC50</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温州市综合行政执法局（温州市城市管理局）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ZJCC56</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温州市机关事务管理局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ZJCC61</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温州市退役军人事务局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ZJCC62</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温州市自然资源和规划局（温州市海洋局、温州市林业局）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ZJCC63</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温州市生态环境局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ZJCC64</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温州市农业农村局（温州市渔业局）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ZJCC65</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温州市文化广电旅游局（温州市文物局）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ZJCC66</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温州市卫生健康委员会</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ZJCC67</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温州市市场监督管理局（温州市知识产权局）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ZJCC68</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温州市应急管理局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ZJCC70</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温州市消防救援支队</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ZJCC70-201x-1xxx</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温州市粮食和物资储备局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ZJCC71</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温州市人民政府金融工作办公室</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ZJCC72</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温州市医疗保障局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ZJCC73</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温州市大数据发展管理局</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ZJCC75</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温州生态园管理委员会</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kern w:val="0"/>
                <w:sz w:val="24"/>
                <w:szCs w:val="24"/>
              </w:rPr>
            </w:pPr>
            <w:r>
              <w:rPr>
                <w:rFonts w:ascii="仿宋_GB2312" w:hAnsi="仿宋_GB2312"/>
                <w:color w:val="000000"/>
                <w:kern w:val="0"/>
                <w:sz w:val="24"/>
                <w:szCs w:val="24"/>
              </w:rPr>
              <w:t>ZJCC80</w:t>
            </w:r>
          </w:p>
        </w:tc>
      </w:tr>
      <w:tr>
        <w:tblPrEx>
          <w:tblLayout w:type="fixed"/>
          <w:tblCellMar>
            <w:top w:w="15" w:type="dxa"/>
            <w:left w:w="15" w:type="dxa"/>
            <w:bottom w:w="15" w:type="dxa"/>
            <w:right w:w="15" w:type="dxa"/>
          </w:tblCellMar>
        </w:tblPrEx>
        <w:trPr>
          <w:trHeight w:val="113" w:hRule="atLeast"/>
        </w:trPr>
        <w:tc>
          <w:tcPr>
            <w:tcW w:w="6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温州浙南沿海先进装备产业集聚区管理委员会（温州经济技术开发区管理委员会、温州市瓯飞开发建设管理委员会）</w:t>
            </w:r>
          </w:p>
        </w:tc>
        <w:tc>
          <w:tcPr>
            <w:tcW w:w="208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_GB2312" w:hAnsi="仿宋_GB2312"/>
                <w:color w:val="000000"/>
                <w:sz w:val="24"/>
                <w:szCs w:val="24"/>
              </w:rPr>
            </w:pPr>
            <w:r>
              <w:rPr>
                <w:rFonts w:ascii="仿宋_GB2312" w:hAnsi="仿宋_GB2312"/>
                <w:color w:val="000000"/>
                <w:kern w:val="0"/>
                <w:sz w:val="24"/>
                <w:szCs w:val="24"/>
              </w:rPr>
              <w:t>ZJCC81</w:t>
            </w:r>
          </w:p>
        </w:tc>
      </w:tr>
    </w:tbl>
    <w:p>
      <w:pPr>
        <w:snapToGrid w:val="0"/>
        <w:spacing w:line="312" w:lineRule="auto"/>
        <w:ind w:firstLine="640" w:firstLineChars="200"/>
        <w:jc w:val="left"/>
        <w:rPr>
          <w:rFonts w:ascii="仿宋_GB2312"/>
          <w:sz w:val="32"/>
          <w:szCs w:val="32"/>
        </w:rPr>
      </w:pPr>
      <w:r>
        <w:rPr>
          <w:rFonts w:ascii="仿宋_GB2312"/>
          <w:sz w:val="32"/>
          <w:szCs w:val="32"/>
        </w:rPr>
        <w:t xml:space="preserve"> </w:t>
      </w:r>
    </w:p>
    <w:p>
      <w:pPr>
        <w:spacing w:line="240" w:lineRule="exact"/>
        <w:ind w:left="2259" w:leftChars="556" w:hanging="480" w:hangingChars="150"/>
        <w:rPr>
          <w:rFonts w:ascii="仿宋_GB2312"/>
        </w:rPr>
      </w:pPr>
      <w:r>
        <w:rPr>
          <w:rFonts w:ascii="仿宋_GB2312"/>
        </w:rPr>
        <w:t xml:space="preserve"> </w:t>
      </w:r>
    </w:p>
    <w:p/>
    <w:p/>
    <w:p/>
    <w:p/>
    <w:p/>
    <w:p/>
    <w:p/>
    <w:p/>
    <w:p/>
    <w:p/>
    <w:p/>
    <w:p/>
    <w:p/>
    <w:p/>
    <w:p/>
    <w:p/>
    <w:p/>
    <w:p/>
    <w:p/>
    <w:p/>
    <w:p/>
    <w:p/>
    <w:p/>
    <w:p/>
    <w:p/>
    <w:p/>
    <w:p/>
    <w:p/>
    <w:p/>
    <w:p/>
    <w:p/>
    <w:p/>
    <w:p/>
    <w:p/>
    <w:p>
      <w:pPr>
        <w:snapToGrid w:val="0"/>
        <w:spacing w:line="300" w:lineRule="auto"/>
        <w:ind w:firstLine="0" w:firstLineChars="0"/>
        <w:rPr>
          <w:sz w:val="28"/>
          <w:szCs w:val="28"/>
        </w:rPr>
      </w:pPr>
    </w:p>
    <w:p>
      <w:pPr>
        <w:snapToGrid w:val="0"/>
        <w:spacing w:line="300" w:lineRule="auto"/>
        <w:ind w:firstLine="0" w:firstLineChars="0"/>
        <w:rPr>
          <w:sz w:val="28"/>
          <w:szCs w:val="28"/>
        </w:rPr>
      </w:pPr>
      <w:r>
        <w:rPr>
          <w:rFonts w:eastAsia="宋体"/>
          <w:sz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237490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7pt;height:0pt;width:441pt;z-index:251661312;mso-width-relative:page;mso-height-relative:page;" filled="f" stroked="t" coordsize="21600,21600" o:gfxdata="UEsDBAoAAAAAAIdO4kAAAAAAAAAAAAAAAAAEAAAAZHJzL1BLAwQUAAAACACHTuJASYLolNUAAAAG&#10;AQAADwAAAGRycy9kb3ducmV2LnhtbE2PQUvDQBCF74L/YRnBm920Sg0xm0KCHnpQsBXU2zY7JsHs&#10;bMxO2vrvHelBj++94b1v8tXR92qPY+wCGZjPElBIdXAdNQZetg9XKajIlpztA6GBb4ywKs7Pcpu5&#10;cKBn3G+4UVJCMbMGWuYh0zrWLXobZ2FAkuwjjN6yyLHRbrQHKfe9XiTJUnvbkSy0dsCqxfpzM3kD&#10;HF/fnnhaf5XL8rHCbfle3eu1MZcX8+QOFOOR/47hF1/QoRCmXZjIRdUbkEfYwPXtDShJ03Qhxu5k&#10;6CLX//GLH1BLAwQUAAAACACHTuJALmqeQ9wBAACWAwAADgAAAGRycy9lMm9Eb2MueG1srVPNbhMx&#10;EL4j9R0s38luSn/QKpsempYLgkjAA0xs764l/8njZpOX4AWQuMGJI3fepuUxGDtpys8FVd3D7Ngz&#10;/ma+z+PZxcYatlYRtXctn05qzpQTXmrXt/zD++vnLznDBE6C8U61fKuQX8yPns3G0KhjP3gjVWQE&#10;4rAZQ8uHlEJTVSgGZQEnPihHwc5HC4mWsa9khJHQramO6/qsGn2UIXqhEGl3sQvyecHvOiXS265D&#10;lZhpOfWWio3FrrKt5jNo+ghh0GLfBjyiCwvaUdED1AISsJuo/4GyWkSPvksT4W3lu04LVTgQm2n9&#10;F5t3AwRVuJA4GA4y4dPBijfrZWRatvyEMweWruju0/fbj19+/vhM9u7bV3aSRRoDNpR76ZZxv8Kw&#10;jJnxpos2/4kL2xRhtwdh1SYxQZunZ3V9XpP+4j5WPRwMEdMr5S3LTsuNdpkzNLB+jYmKUep9St42&#10;jo0tfzE9PyU4oJHpDCRybSAS6PpyFr3R8lobk09g7FeXJrI15CEoX6ZEuH+k5SILwGGXV0K78RgU&#10;yCsnWdoGksfRHPPcglWSM6No7LNHgNAk0OZ/Mqm0cdRBVnWnY/ZWXm7pMm5C1P1ASkxLlzlCl1/6&#10;3Q9qnq7f1wXp4TnN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guiU1QAAAAYBAAAPAAAAAAAA&#10;AAEAIAAAACIAAABkcnMvZG93bnJldi54bWxQSwECFAAUAAAACACHTuJALmqeQ9wBAACWAwAADgAA&#10;AAAAAAABACAAAAAkAQAAZHJzL2Uyb0RvYy54bWxQSwUGAAAAAAYABgBZAQAAcgUAAAAA&#10;">
                <v:fill on="f" focussize="0,0"/>
                <v:stroke weight="0.25pt" color="#000000" joinstyle="round"/>
                <v:imagedata o:title=""/>
                <o:lock v:ext="edit" aspectratio="f"/>
              </v:line>
            </w:pict>
          </mc:Fallback>
        </mc:AlternateContent>
      </w:r>
    </w:p>
    <w:p>
      <w:r>
        <w:rPr>
          <w:rFonts w:ascii="宋体" w:hAnsi="宋体" w:eastAsia="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309880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4.4pt;height:0pt;width:441pt;z-index:251660288;mso-width-relative:page;mso-height-relative:page;" filled="f" stroked="t" coordsize="21600,21600" o:gfxdata="UEsDBAoAAAAAAIdO4kAAAAAAAAAAAAAAAAAEAAAAZHJzL1BLAwQUAAAACACHTuJAoo2kPdUAAAAH&#10;AQAADwAAAGRycy9kb3ducmV2LnhtbE2PTUvDQBCG74L/YRnBm93UjxLSbAoJeuhBwVbQ3rbZMQlm&#10;Z2N20tZ/74gHPb4fvPNMvjr5Xh1wjF0gA/NZAgqpDq6jxsDL9uEqBRXZkrN9IDTwhRFWxflZbjMX&#10;jvSMhw03SkYoZtZAyzxkWse6RW/jLAxIkr2H0VsWOTbajfYo477X10my0N52JBdaO2DVYv2xmbwB&#10;jq9vTzytP8tF+VjhttxV93ptzOXFPFmCYjzxXxl+8AUdCmHah4lcVL3oOykauE3lAYnT9EaM/a+h&#10;i1z/5y++AVBLAwQUAAAACACHTuJAPwH6LtsBAACWAwAADgAAAGRycy9lMm9Eb2MueG1srVPNbhMx&#10;EL4j8Q6W781uWqVFq2x6aCgXBJGgDzCxvbuW/CePm01eghdA4gYnjtx5G9rH6NhJU34uCJHDZOwZ&#10;f/6+z7Pzy601bKMiau9aPp3UnCknvNSub/nN++uTF5xhAifBeKdavlPILxfPn83H0KhTP3gjVWQE&#10;4rAZQ8uHlEJTVSgGZQEnPihHxc5HC4mWsa9khJHQralO6/q8Gn2UIXqhEGl3uS/yRcHvOiXS265D&#10;lZhpOXFLJcYS1zlWizk0fYQwaHGgAf/AwoJ2dOkRagkJ2G3Uf0BZLaJH36WJ8LbyXaeFKhpIzbT+&#10;Tc27AYIqWsgcDEeb8P/BijebVWRatnzGmQNLT3T38duPD5/vv3+iePf1C5tlk8aADfVeuVU8rDCs&#10;Yla87aLN/6SFbYuxu6OxapuYoM3ZeV1f1OS/eKxVTwdDxPRKecty0nKjXdYMDWxeY6LLqPWxJW8b&#10;x8aWn00viLAAGpnOQKLUBhKBri9n0Rstr7Ux+QTGfn1lIttAHoLyy5II95e2fMkScNj3ldJ+PAYF&#10;8qWTLO0C2eNojnmmYJXkzCga+5wRIDQJtPmbTrraOGKQXd37mLO1lzt6jNsQdT+QE9PCMlfo8Qvf&#10;w6Dm6fp5XZCePqf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KNpD3VAAAABwEAAA8AAAAAAAAA&#10;AQAgAAAAIgAAAGRycy9kb3ducmV2LnhtbFBLAQIUABQAAAAIAIdO4kA/Afou2wEAAJYDAAAOAAAA&#10;AAAAAAEAIAAAACQBAABkcnMvZTJvRG9jLnhtbFBLBQYAAAAABgAGAFkBAABxBQAAAAA=&#10;">
                <v:fill on="f" focussize="0,0"/>
                <v:stroke weight="0.25pt" color="#000000" joinstyle="round"/>
                <v:imagedata o:title=""/>
                <o:lock v:ext="edit" aspectratio="f"/>
              </v:line>
            </w:pict>
          </mc:Fallback>
        </mc:AlternateContent>
      </w:r>
      <w:r>
        <w:rPr>
          <w:rFonts w:hint="eastAsia" w:ascii="仿宋_GB2312"/>
          <w:sz w:val="28"/>
          <w:szCs w:val="28"/>
        </w:rPr>
        <w:t xml:space="preserve">温州市司法局办公室              </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val="en-US" w:eastAsia="zh-CN"/>
        </w:rPr>
        <w:t>2019年8月11日</w:t>
      </w:r>
      <w:r>
        <w:rPr>
          <w:rFonts w:hint="eastAsia" w:ascii="仿宋_GB2312"/>
          <w:sz w:val="28"/>
          <w:szCs w:val="28"/>
        </w:rPr>
        <w:t xml:space="preserve">  </w:t>
      </w:r>
      <w:bookmarkStart w:id="2" w:name="印发日期"/>
      <w:bookmarkEnd w:id="2"/>
      <w:r>
        <w:rPr>
          <w:rFonts w:hint="eastAsia" w:ascii="仿宋_GB2312"/>
          <w:sz w:val="28"/>
          <w:szCs w:val="28"/>
        </w:rPr>
        <w:t>印</w:t>
      </w:r>
      <w:r>
        <w:rPr>
          <w:rFonts w:hint="eastAsia" w:ascii="仿宋_GB2312"/>
          <w:sz w:val="28"/>
          <w:szCs w:val="28"/>
          <w:lang w:eastAsia="zh-CN"/>
        </w:rPr>
        <w:t>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05694C"/>
    <w:rsid w:val="740C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605</dc:creator>
  <cp:lastModifiedBy>Cherish</cp:lastModifiedBy>
  <dcterms:modified xsi:type="dcterms:W3CDTF">2019-08-14T07:25:15Z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